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7059976F"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A320DA">
        <w:rPr>
          <w:bCs/>
          <w:noProof w:val="0"/>
          <w:sz w:val="24"/>
          <w:szCs w:val="24"/>
        </w:rPr>
        <w:t>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F87048">
        <w:rPr>
          <w:bCs/>
          <w:noProof w:val="0"/>
          <w:sz w:val="24"/>
          <w:szCs w:val="24"/>
        </w:rPr>
        <w:t>40</w:t>
      </w:r>
      <w:r w:rsidR="00A07231">
        <w:rPr>
          <w:bCs/>
          <w:noProof w:val="0"/>
          <w:sz w:val="24"/>
          <w:szCs w:val="24"/>
        </w:rPr>
        <w:t>4734</w:t>
      </w:r>
    </w:p>
    <w:p w14:paraId="3723E1D3" w14:textId="0C999351" w:rsidR="005432D9" w:rsidRPr="00465587" w:rsidRDefault="00A320DA" w:rsidP="005432D9">
      <w:pPr>
        <w:pStyle w:val="Header"/>
        <w:tabs>
          <w:tab w:val="right" w:pos="9639"/>
        </w:tabs>
        <w:rPr>
          <w:rFonts w:eastAsia="SimSun"/>
          <w:bCs/>
          <w:sz w:val="24"/>
          <w:szCs w:val="24"/>
          <w:lang w:eastAsia="zh-CN"/>
        </w:rPr>
      </w:pPr>
      <w:r w:rsidRPr="00A320DA">
        <w:rPr>
          <w:rFonts w:eastAsia="SimSun"/>
          <w:bCs/>
          <w:sz w:val="24"/>
          <w:szCs w:val="24"/>
          <w:lang w:eastAsia="zh-CN"/>
        </w:rPr>
        <w:t>Fukuoka, Japan, 20 – 25 May 2024</w:t>
      </w:r>
      <w:r w:rsidR="005432D9">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A0CB9AD"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F6E02">
        <w:rPr>
          <w:rFonts w:cs="Arial"/>
          <w:b/>
          <w:bCs/>
          <w:sz w:val="24"/>
          <w:lang w:eastAsia="ja-JP"/>
        </w:rPr>
        <w:t>8.10.2</w:t>
      </w:r>
    </w:p>
    <w:p w14:paraId="73188B46" w14:textId="0170618E"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608AA4AA"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F6E02" w:rsidRPr="002F6E02">
        <w:rPr>
          <w:rFonts w:ascii="Arial" w:hAnsi="Arial" w:cs="Arial"/>
          <w:b/>
          <w:bCs/>
          <w:sz w:val="24"/>
        </w:rPr>
        <w:t xml:space="preserve">MRO for </w:t>
      </w:r>
      <w:r w:rsidR="0072406A">
        <w:rPr>
          <w:rFonts w:ascii="Arial" w:hAnsi="Arial" w:cs="Arial"/>
          <w:b/>
          <w:bCs/>
          <w:sz w:val="24"/>
        </w:rPr>
        <w:t>CHO with candidate SCG</w:t>
      </w:r>
    </w:p>
    <w:p w14:paraId="25F387E8" w14:textId="452AE18F"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F6E02" w:rsidRPr="002F6E02">
        <w:rPr>
          <w:rFonts w:ascii="Arial" w:hAnsi="Arial" w:cs="Arial"/>
          <w:b/>
          <w:bCs/>
          <w:sz w:val="24"/>
        </w:rPr>
        <w:t>NR_ENDC_SON_MDT_Ph4-Core</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6C62625E" w:rsidR="00A209D6" w:rsidRDefault="0062795C" w:rsidP="0062795C">
      <w:pPr>
        <w:pStyle w:val="Heading1"/>
      </w:pPr>
      <w:r>
        <w:t>1</w:t>
      </w:r>
      <w:r>
        <w:tab/>
      </w:r>
      <w:r w:rsidR="00A209D6" w:rsidRPr="0062795C">
        <w:t>Introduction</w:t>
      </w:r>
    </w:p>
    <w:p w14:paraId="17E7E28A" w14:textId="5EFA2FF8" w:rsidR="002F6E02" w:rsidRDefault="002F6E02" w:rsidP="002F6E02">
      <w:r>
        <w:t>The following agreements were reached on the topic of MR</w:t>
      </w:r>
      <w:r w:rsidR="0072406A">
        <w:t>O</w:t>
      </w:r>
      <w:r>
        <w:t xml:space="preserve"> for </w:t>
      </w:r>
      <w:r w:rsidR="0072406A">
        <w:t>CHO with candidate SCG</w:t>
      </w:r>
      <w:r>
        <w:t xml:space="preserve"> at RAN2#125bis:</w:t>
      </w:r>
    </w:p>
    <w:p w14:paraId="198AB4A6" w14:textId="41B38C28" w:rsidR="0072406A" w:rsidRDefault="0072406A" w:rsidP="0072406A">
      <w:pPr>
        <w:ind w:firstLine="284"/>
        <w:rPr>
          <w:i/>
          <w:iCs/>
        </w:rPr>
      </w:pPr>
      <w:r w:rsidRPr="0072406A">
        <w:rPr>
          <w:i/>
          <w:iCs/>
        </w:rPr>
        <w:t>RAN2 to study failure and near failure scenarios for CHO with candidate SCGs.</w:t>
      </w:r>
    </w:p>
    <w:p w14:paraId="20354014" w14:textId="3C91BA50" w:rsidR="0072406A" w:rsidRDefault="0072406A" w:rsidP="0072406A">
      <w:r>
        <w:t>Similar agreements were reached in RAN3#124bis as well:</w:t>
      </w:r>
    </w:p>
    <w:p w14:paraId="661C7CF1" w14:textId="77777777" w:rsidR="0072406A" w:rsidRPr="0072406A" w:rsidRDefault="0072406A" w:rsidP="0072406A">
      <w:pPr>
        <w:ind w:left="284"/>
        <w:rPr>
          <w:i/>
          <w:iCs/>
          <w:lang w:val="en-US"/>
        </w:rPr>
      </w:pPr>
      <w:r w:rsidRPr="0072406A">
        <w:rPr>
          <w:i/>
          <w:iCs/>
          <w:lang w:val="en-US"/>
        </w:rPr>
        <w:t xml:space="preserve">MRO for CHO with candidate SCG failure and near failure cases. </w:t>
      </w:r>
    </w:p>
    <w:p w14:paraId="797019E0" w14:textId="77777777" w:rsidR="0072406A" w:rsidRPr="0072406A" w:rsidRDefault="0072406A" w:rsidP="0072406A">
      <w:pPr>
        <w:ind w:left="284"/>
        <w:rPr>
          <w:i/>
          <w:iCs/>
          <w:lang w:val="en-US"/>
        </w:rPr>
      </w:pPr>
      <w:r w:rsidRPr="0072406A">
        <w:rPr>
          <w:i/>
          <w:iCs/>
          <w:lang w:val="en-US"/>
        </w:rPr>
        <w:t xml:space="preserve">RAN3 focuses on NR-DC for MRO for CHO with candidate SCG in R19. </w:t>
      </w:r>
    </w:p>
    <w:p w14:paraId="0D741A91" w14:textId="259C5E11" w:rsidR="0072406A" w:rsidRPr="0072406A" w:rsidRDefault="0072406A" w:rsidP="0072406A">
      <w:pPr>
        <w:ind w:left="284"/>
        <w:rPr>
          <w:lang w:val="en-US"/>
        </w:rPr>
      </w:pPr>
      <w:r w:rsidRPr="0072406A">
        <w:rPr>
          <w:i/>
          <w:iCs/>
          <w:lang w:val="en-US"/>
        </w:rPr>
        <w:t xml:space="preserve">R19 SON/MDT solution discussion is based on R18 work.  </w:t>
      </w:r>
    </w:p>
    <w:p w14:paraId="194915DB" w14:textId="63579BCD" w:rsidR="002F6E02" w:rsidRPr="002F6E02" w:rsidRDefault="002F6E02" w:rsidP="002F6E02">
      <w:pPr>
        <w:rPr>
          <w:lang w:val="en-US"/>
        </w:rPr>
      </w:pPr>
      <w:r>
        <w:rPr>
          <w:rStyle w:val="normaltextrun"/>
          <w:color w:val="000000"/>
          <w:shd w:val="clear" w:color="auto" w:fill="FFFFFF"/>
        </w:rPr>
        <w:t xml:space="preserve">This paper discusses further details on the possible objectives for MRO for </w:t>
      </w:r>
      <w:r w:rsidR="0072406A">
        <w:rPr>
          <w:rStyle w:val="normaltextrun"/>
          <w:color w:val="000000"/>
          <w:shd w:val="clear" w:color="auto" w:fill="FFFFFF"/>
        </w:rPr>
        <w:t>CHO with candidate SCG.</w:t>
      </w:r>
    </w:p>
    <w:p w14:paraId="0B0B89BF" w14:textId="01D95F87" w:rsidR="0072406A" w:rsidRDefault="009339CB" w:rsidP="0072406A">
      <w:pPr>
        <w:pStyle w:val="Heading1"/>
      </w:pPr>
      <w:r w:rsidRPr="006E13D1">
        <w:t>2</w:t>
      </w:r>
      <w:r w:rsidR="0072406A" w:rsidRPr="006E13D1">
        <w:tab/>
      </w:r>
      <w:r w:rsidR="0072406A">
        <w:t xml:space="preserve">CHO with candidate SCGs overview </w:t>
      </w:r>
    </w:p>
    <w:p w14:paraId="54B01039" w14:textId="445639BA" w:rsidR="0072406A" w:rsidRPr="005C0F45" w:rsidRDefault="0072406A" w:rsidP="0072406A">
      <w:pPr>
        <w:rPr>
          <w:bCs/>
          <w:lang w:val="en-US"/>
        </w:rPr>
      </w:pPr>
      <w:r w:rsidRPr="005C0F45">
        <w:rPr>
          <w:bCs/>
          <w:lang w:val="en-US"/>
        </w:rPr>
        <w:t xml:space="preserve">CHO with candidate SCGs was introduced in </w:t>
      </w:r>
      <w:r w:rsidR="00AF3BD5">
        <w:rPr>
          <w:bCs/>
          <w:lang w:val="en-US"/>
        </w:rPr>
        <w:t>Rel-18</w:t>
      </w:r>
      <w:r w:rsidRPr="005C0F45">
        <w:rPr>
          <w:bCs/>
          <w:lang w:val="en-US"/>
        </w:rPr>
        <w:t xml:space="preserve"> (TR 37.340 section </w:t>
      </w:r>
      <w:r w:rsidRPr="005C0F45">
        <w:rPr>
          <w:bCs/>
        </w:rPr>
        <w:t>10.19.3)</w:t>
      </w:r>
      <w:r w:rsidR="00AF3BD5">
        <w:rPr>
          <w:bCs/>
        </w:rPr>
        <w:t>:</w:t>
      </w:r>
    </w:p>
    <w:p w14:paraId="016B2F25" w14:textId="77777777" w:rsidR="0072406A" w:rsidRDefault="0072406A" w:rsidP="00AF3BD5">
      <w:pPr>
        <w:ind w:left="284"/>
        <w:rPr>
          <w:rFonts w:eastAsia="SimSun"/>
          <w:lang w:val="en-US" w:eastAsia="zh-CN"/>
        </w:rPr>
      </w:pPr>
      <w:r w:rsidRPr="1361D888">
        <w:rPr>
          <w:rFonts w:eastAsia="SimSun"/>
          <w:lang w:val="en-US" w:eastAsia="zh-CN"/>
        </w:rPr>
        <w:t xml:space="preserve">A CHO with candidate SCG(s) is defined as a </w:t>
      </w:r>
      <w:proofErr w:type="spellStart"/>
      <w:r w:rsidRPr="1361D888">
        <w:rPr>
          <w:rFonts w:eastAsia="SimSun"/>
          <w:lang w:val="en-US" w:eastAsia="zh-CN"/>
        </w:rPr>
        <w:t>PCell</w:t>
      </w:r>
      <w:proofErr w:type="spellEnd"/>
      <w:r w:rsidRPr="1361D888">
        <w:rPr>
          <w:rFonts w:eastAsia="SimSun"/>
          <w:lang w:val="en-US" w:eastAsia="zh-CN"/>
        </w:rPr>
        <w:t xml:space="preserve"> change with PSCell addition/change that is executed by the UE when </w:t>
      </w:r>
      <w:bookmarkStart w:id="0" w:name="_Hlk134102519"/>
      <w:r w:rsidRPr="1361D888">
        <w:rPr>
          <w:rFonts w:eastAsia="SimSun"/>
          <w:lang w:val="en-US" w:eastAsia="zh-CN"/>
        </w:rPr>
        <w:t xml:space="preserve">the execution conditions for both candidate </w:t>
      </w:r>
      <w:proofErr w:type="spellStart"/>
      <w:r w:rsidRPr="1361D888">
        <w:rPr>
          <w:rFonts w:eastAsia="SimSun"/>
          <w:lang w:val="en-US" w:eastAsia="zh-CN"/>
        </w:rPr>
        <w:t>PCell</w:t>
      </w:r>
      <w:proofErr w:type="spellEnd"/>
      <w:r w:rsidRPr="1361D888">
        <w:rPr>
          <w:rFonts w:eastAsia="SimSun"/>
          <w:lang w:val="en-US" w:eastAsia="zh-CN"/>
        </w:rPr>
        <w:t xml:space="preserve"> and the associated candidate PSCell are met</w:t>
      </w:r>
      <w:bookmarkEnd w:id="0"/>
      <w:r w:rsidRPr="1361D888">
        <w:rPr>
          <w:rFonts w:eastAsia="SimSun"/>
          <w:lang w:eastAsia="zh-CN"/>
        </w:rPr>
        <w:t>.</w:t>
      </w:r>
      <w:r w:rsidRPr="1361D888">
        <w:rPr>
          <w:rFonts w:eastAsia="SimSun"/>
          <w:lang w:val="en-US" w:eastAsia="zh-CN"/>
        </w:rPr>
        <w:t xml:space="preserve"> The UE starts evaluating the execution conditions for candidate </w:t>
      </w:r>
      <w:proofErr w:type="spellStart"/>
      <w:r w:rsidRPr="1361D888">
        <w:rPr>
          <w:rFonts w:eastAsia="SimSun"/>
          <w:lang w:val="en-US" w:eastAsia="zh-CN"/>
        </w:rPr>
        <w:t>PCell</w:t>
      </w:r>
      <w:proofErr w:type="spellEnd"/>
      <w:r w:rsidRPr="1361D888">
        <w:rPr>
          <w:rFonts w:eastAsia="SimSun"/>
          <w:lang w:val="en-US" w:eastAsia="zh-CN"/>
        </w:rPr>
        <w:t xml:space="preserve">(s) and candidate PSCell(s) simultaneously upon receiving the CHO with candidate SCG(s) </w:t>
      </w:r>
      <w:proofErr w:type="gramStart"/>
      <w:r w:rsidRPr="1361D888">
        <w:rPr>
          <w:rFonts w:eastAsia="SimSun"/>
          <w:lang w:val="en-US" w:eastAsia="zh-CN"/>
        </w:rPr>
        <w:t>configuration, and</w:t>
      </w:r>
      <w:proofErr w:type="gramEnd"/>
      <w:r w:rsidRPr="1361D888">
        <w:rPr>
          <w:rFonts w:eastAsia="SimSun"/>
          <w:lang w:val="en-US" w:eastAsia="zh-CN"/>
        </w:rPr>
        <w:t xml:space="preserve"> stops evaluating the execution conditions once a </w:t>
      </w:r>
      <w:proofErr w:type="spellStart"/>
      <w:r w:rsidRPr="1361D888">
        <w:rPr>
          <w:rFonts w:eastAsia="SimSun"/>
          <w:lang w:val="en-US" w:eastAsia="zh-CN"/>
        </w:rPr>
        <w:t>PCell</w:t>
      </w:r>
      <w:proofErr w:type="spellEnd"/>
      <w:r w:rsidRPr="1361D888">
        <w:rPr>
          <w:rFonts w:eastAsia="SimSun"/>
          <w:lang w:val="en-US" w:eastAsia="zh-CN"/>
        </w:rPr>
        <w:t xml:space="preserve"> change or a PSCell change is triggered. The UE does not execute CHO with candidate SCG(s) until</w:t>
      </w:r>
      <w:r>
        <w:t xml:space="preserve"> </w:t>
      </w:r>
      <w:r w:rsidRPr="1361D888">
        <w:rPr>
          <w:rFonts w:eastAsia="SimSun"/>
          <w:lang w:val="en-US" w:eastAsia="zh-CN"/>
        </w:rPr>
        <w:t xml:space="preserve">the execution conditions for both the candidate </w:t>
      </w:r>
      <w:proofErr w:type="spellStart"/>
      <w:r w:rsidRPr="1361D888">
        <w:rPr>
          <w:rFonts w:eastAsia="SimSun"/>
          <w:lang w:val="en-US" w:eastAsia="zh-CN"/>
        </w:rPr>
        <w:t>PCell</w:t>
      </w:r>
      <w:proofErr w:type="spellEnd"/>
      <w:r w:rsidRPr="1361D888">
        <w:rPr>
          <w:rFonts w:eastAsia="SimSun"/>
          <w:lang w:val="en-US" w:eastAsia="zh-CN"/>
        </w:rPr>
        <w:t xml:space="preserve"> and the associated candidate PSCell are met.</w:t>
      </w:r>
    </w:p>
    <w:p w14:paraId="77A8817A" w14:textId="4B02344A" w:rsidR="0072406A" w:rsidRDefault="0072406A" w:rsidP="0072406A">
      <w:pPr>
        <w:pStyle w:val="Heading1"/>
        <w:rPr>
          <w:lang w:val="en-US"/>
        </w:rPr>
      </w:pPr>
      <w:r>
        <w:rPr>
          <w:lang w:val="en-US"/>
        </w:rPr>
        <w:t>3</w:t>
      </w:r>
      <w:r>
        <w:rPr>
          <w:lang w:val="en-US"/>
        </w:rPr>
        <w:tab/>
      </w:r>
      <w:r w:rsidR="006572C4">
        <w:rPr>
          <w:lang w:val="en-US"/>
        </w:rPr>
        <w:t>Enhancements for</w:t>
      </w:r>
      <w:r>
        <w:rPr>
          <w:lang w:val="en-US"/>
        </w:rPr>
        <w:t xml:space="preserve"> MRO for CHO with candidate SCGs</w:t>
      </w:r>
    </w:p>
    <w:p w14:paraId="167C2D81" w14:textId="381361CE" w:rsidR="0072406A" w:rsidRDefault="0072406A" w:rsidP="0072406A">
      <w:pPr>
        <w:rPr>
          <w:lang w:val="en-US"/>
        </w:rPr>
      </w:pPr>
      <w:r w:rsidRPr="77D8017B">
        <w:rPr>
          <w:lang w:val="en-US"/>
        </w:rPr>
        <w:t xml:space="preserve">As already </w:t>
      </w:r>
      <w:proofErr w:type="gramStart"/>
      <w:r w:rsidR="00AF3BD5" w:rsidRPr="77D8017B">
        <w:rPr>
          <w:lang w:val="en-US"/>
        </w:rPr>
        <w:t>agreed</w:t>
      </w:r>
      <w:proofErr w:type="gramEnd"/>
      <w:r w:rsidR="60CEA0F2" w:rsidRPr="77D8017B">
        <w:rPr>
          <w:lang w:val="en-US"/>
        </w:rPr>
        <w:t xml:space="preserve"> </w:t>
      </w:r>
      <w:r w:rsidRPr="77D8017B">
        <w:rPr>
          <w:lang w:val="en-US"/>
        </w:rPr>
        <w:t xml:space="preserve">in both RAN2 and RAN3, MRO for CHO with candidate SCGs should consider both failure and near failure scenarios. </w:t>
      </w:r>
    </w:p>
    <w:p w14:paraId="34EA799E" w14:textId="66D33C5E" w:rsidR="0072406A" w:rsidRDefault="0072406A" w:rsidP="0072406A">
      <w:pPr>
        <w:rPr>
          <w:lang w:val="en-US"/>
        </w:rPr>
      </w:pPr>
      <w:r w:rsidRPr="1361D888">
        <w:rPr>
          <w:lang w:val="en-US"/>
        </w:rPr>
        <w:t xml:space="preserve">Failure scenarios would be those in which one or both execution conditions (i.e. CHO and/or CPAC) are not fulfilled. This would result in a failure on MCG and/or SCG being detected by the UE before an execution is possible. It is important in this case to know which execution condition did not trigger </w:t>
      </w:r>
      <w:r w:rsidR="00AF3BD5">
        <w:rPr>
          <w:lang w:val="en-US"/>
        </w:rPr>
        <w:t>and</w:t>
      </w:r>
      <w:r>
        <w:rPr>
          <w:lang w:val="en-US"/>
        </w:rPr>
        <w:t xml:space="preserve"> the </w:t>
      </w:r>
      <w:r w:rsidR="00E22C81">
        <w:rPr>
          <w:lang w:val="en-US"/>
        </w:rPr>
        <w:t>relationship</w:t>
      </w:r>
      <w:r>
        <w:rPr>
          <w:lang w:val="en-US"/>
        </w:rPr>
        <w:t xml:space="preserve"> between them</w:t>
      </w:r>
      <w:r w:rsidR="00E22C81">
        <w:rPr>
          <w:lang w:val="en-US"/>
        </w:rPr>
        <w:t xml:space="preserve"> </w:t>
      </w:r>
      <w:proofErr w:type="gramStart"/>
      <w:r w:rsidR="00E22C81">
        <w:rPr>
          <w:lang w:val="en-US"/>
        </w:rPr>
        <w:t>in order to</w:t>
      </w:r>
      <w:proofErr w:type="gramEnd"/>
      <w:r w:rsidR="00E22C81">
        <w:rPr>
          <w:lang w:val="en-US"/>
        </w:rPr>
        <w:t xml:space="preserve"> </w:t>
      </w:r>
      <w:r w:rsidR="00AF3BD5">
        <w:rPr>
          <w:lang w:val="en-US"/>
        </w:rPr>
        <w:t xml:space="preserve">be able to </w:t>
      </w:r>
      <w:r w:rsidR="00E22C81">
        <w:rPr>
          <w:lang w:val="en-US"/>
        </w:rPr>
        <w:t xml:space="preserve">apply </w:t>
      </w:r>
      <w:r w:rsidR="00AF3BD5">
        <w:rPr>
          <w:lang w:val="en-US"/>
        </w:rPr>
        <w:t>the appropriate</w:t>
      </w:r>
      <w:r w:rsidR="00E22C81">
        <w:rPr>
          <w:lang w:val="en-US"/>
        </w:rPr>
        <w:t xml:space="preserve"> corrective actions</w:t>
      </w:r>
      <w:r>
        <w:rPr>
          <w:lang w:val="en-US"/>
        </w:rPr>
        <w:t>.</w:t>
      </w:r>
    </w:p>
    <w:p w14:paraId="4FBF39C2" w14:textId="11DD9F0B" w:rsidR="0072406A" w:rsidRDefault="0072406A" w:rsidP="0072406A">
      <w:pPr>
        <w:rPr>
          <w:b/>
          <w:bCs/>
          <w:lang w:val="en-US"/>
        </w:rPr>
      </w:pPr>
      <w:r w:rsidRPr="538BB813">
        <w:rPr>
          <w:b/>
          <w:bCs/>
          <w:lang w:val="en-US"/>
        </w:rPr>
        <w:t>Proposal 1: RAN2 to enhance the RLF report</w:t>
      </w:r>
      <w:r w:rsidR="1A8663AF" w:rsidRPr="538BB813">
        <w:rPr>
          <w:b/>
          <w:bCs/>
          <w:lang w:val="en-US"/>
        </w:rPr>
        <w:t xml:space="preserve"> and </w:t>
      </w:r>
      <w:proofErr w:type="spellStart"/>
      <w:r w:rsidR="1A8663AF" w:rsidRPr="538BB813">
        <w:rPr>
          <w:b/>
          <w:bCs/>
          <w:lang w:val="en-US"/>
        </w:rPr>
        <w:t>SCGFailureInformation</w:t>
      </w:r>
      <w:proofErr w:type="spellEnd"/>
      <w:r w:rsidRPr="538BB813">
        <w:rPr>
          <w:b/>
          <w:bCs/>
          <w:lang w:val="en-US"/>
        </w:rPr>
        <w:t xml:space="preserve"> with additional information regarding the state of the two execution conditions. </w:t>
      </w:r>
    </w:p>
    <w:p w14:paraId="76179BFE" w14:textId="38527588" w:rsidR="0072406A" w:rsidRDefault="0072406A" w:rsidP="0072406A">
      <w:pPr>
        <w:rPr>
          <w:lang w:val="en-US"/>
        </w:rPr>
      </w:pPr>
      <w:r w:rsidRPr="1361D888">
        <w:rPr>
          <w:lang w:val="en-US"/>
        </w:rPr>
        <w:t xml:space="preserve">Near failure scenarios in the context of CHO with candidate SCGs would be those in which both conditions are fulfilled but with a big gap in timing between them which inevitably introduced interruption time and service degradation. </w:t>
      </w:r>
      <w:r w:rsidR="00AF3BD5">
        <w:rPr>
          <w:lang w:val="en-US"/>
        </w:rPr>
        <w:t>I</w:t>
      </w:r>
      <w:r w:rsidRPr="1361D888">
        <w:rPr>
          <w:lang w:val="en-US"/>
        </w:rPr>
        <w:t>n these cases</w:t>
      </w:r>
      <w:r w:rsidR="00D36DB6">
        <w:rPr>
          <w:lang w:val="en-US"/>
        </w:rPr>
        <w:t>,</w:t>
      </w:r>
      <w:r w:rsidRPr="1361D888">
        <w:rPr>
          <w:lang w:val="en-US"/>
        </w:rPr>
        <w:t xml:space="preserve"> it is </w:t>
      </w:r>
      <w:r w:rsidR="00AF3BD5">
        <w:rPr>
          <w:lang w:val="en-US"/>
        </w:rPr>
        <w:t xml:space="preserve">also </w:t>
      </w:r>
      <w:r w:rsidRPr="1361D888">
        <w:rPr>
          <w:lang w:val="en-US"/>
        </w:rPr>
        <w:t xml:space="preserve">important for the network to know which execution event </w:t>
      </w:r>
      <w:r w:rsidR="00AF3BD5">
        <w:rPr>
          <w:lang w:val="en-US"/>
        </w:rPr>
        <w:t xml:space="preserve">caused </w:t>
      </w:r>
      <w:r w:rsidRPr="1361D888">
        <w:rPr>
          <w:lang w:val="en-US"/>
        </w:rPr>
        <w:t>the delay in the handover execution</w:t>
      </w:r>
      <w:r>
        <w:rPr>
          <w:lang w:val="en-US"/>
        </w:rPr>
        <w:t xml:space="preserve"> or indication of misalignment between configurations</w:t>
      </w:r>
      <w:r w:rsidRPr="1361D888">
        <w:rPr>
          <w:lang w:val="en-US"/>
        </w:rPr>
        <w:t xml:space="preserve">. </w:t>
      </w:r>
    </w:p>
    <w:p w14:paraId="5B62A44F" w14:textId="5407695C" w:rsidR="0072406A" w:rsidRDefault="0072406A" w:rsidP="0072406A">
      <w:pPr>
        <w:rPr>
          <w:lang w:val="en-US"/>
        </w:rPr>
      </w:pPr>
      <w:r w:rsidRPr="1361D888">
        <w:rPr>
          <w:b/>
          <w:bCs/>
          <w:lang w:val="en-US"/>
        </w:rPr>
        <w:lastRenderedPageBreak/>
        <w:t xml:space="preserve">Proposal </w:t>
      </w:r>
      <w:r>
        <w:rPr>
          <w:b/>
          <w:bCs/>
          <w:lang w:val="en-US"/>
        </w:rPr>
        <w:t>2</w:t>
      </w:r>
      <w:r w:rsidRPr="1361D888">
        <w:rPr>
          <w:b/>
          <w:bCs/>
          <w:lang w:val="en-US"/>
        </w:rPr>
        <w:t>: RAN2 to enhance SHR and SPR with new triggers</w:t>
      </w:r>
      <w:r w:rsidR="00E22C81">
        <w:rPr>
          <w:b/>
          <w:bCs/>
          <w:lang w:val="en-US"/>
        </w:rPr>
        <w:t xml:space="preserve"> (e.g. based on time gap between condition fulfilment)</w:t>
      </w:r>
      <w:r w:rsidRPr="1361D888">
        <w:rPr>
          <w:b/>
          <w:bCs/>
          <w:lang w:val="en-US"/>
        </w:rPr>
        <w:t xml:space="preserve"> and content that allows the network to identify the execution condition that delayed the handover.</w:t>
      </w:r>
    </w:p>
    <w:p w14:paraId="72464BA8" w14:textId="3DAF59DA" w:rsidR="0072406A" w:rsidRDefault="0072406A" w:rsidP="0072406A">
      <w:pPr>
        <w:rPr>
          <w:lang w:val="en-US"/>
        </w:rPr>
      </w:pPr>
      <w:r>
        <w:rPr>
          <w:lang w:val="en-US"/>
        </w:rPr>
        <w:t>Rel</w:t>
      </w:r>
      <w:r w:rsidR="00AF3BD5">
        <w:rPr>
          <w:lang w:val="en-US"/>
        </w:rPr>
        <w:t>-</w:t>
      </w:r>
      <w:r>
        <w:rPr>
          <w:lang w:val="en-US"/>
        </w:rPr>
        <w:t xml:space="preserve">18 </w:t>
      </w:r>
      <w:r w:rsidR="00AF3BD5">
        <w:rPr>
          <w:lang w:val="en-US"/>
        </w:rPr>
        <w:t xml:space="preserve">specifications </w:t>
      </w:r>
      <w:r>
        <w:rPr>
          <w:lang w:val="en-US"/>
        </w:rPr>
        <w:t xml:space="preserve">also allow the UE </w:t>
      </w:r>
      <w:r w:rsidR="00AF3BD5">
        <w:rPr>
          <w:lang w:val="en-US"/>
        </w:rPr>
        <w:t xml:space="preserve">to </w:t>
      </w:r>
      <w:r>
        <w:rPr>
          <w:lang w:val="en-US"/>
        </w:rPr>
        <w:t>be configured with a CHO only configuration in addition to the CHO with candidate SCGs one. In case CHO only condition is fulfilled, the UE will execute the CHO regardless of the CHO with candidate SCGs fulfillment status. This ensures the UE does not loose connectivity since the MCG link it handed over</w:t>
      </w:r>
      <w:r w:rsidR="00AF3BD5">
        <w:rPr>
          <w:lang w:val="en-US"/>
        </w:rPr>
        <w:t>,</w:t>
      </w:r>
      <w:r>
        <w:rPr>
          <w:lang w:val="en-US"/>
        </w:rPr>
        <w:t xml:space="preserve"> but it comes with the loss of a possible secondary link. </w:t>
      </w:r>
    </w:p>
    <w:p w14:paraId="0DD15E86" w14:textId="085866E3" w:rsidR="0072406A" w:rsidRPr="00DE78F9" w:rsidRDefault="0072406A" w:rsidP="0072406A">
      <w:pPr>
        <w:rPr>
          <w:b/>
          <w:bCs/>
          <w:lang w:val="en-US"/>
        </w:rPr>
      </w:pPr>
      <w:r w:rsidRPr="1AD3F609">
        <w:rPr>
          <w:b/>
          <w:bCs/>
          <w:lang w:val="en-US"/>
        </w:rPr>
        <w:t xml:space="preserve">Proposal </w:t>
      </w:r>
      <w:r>
        <w:rPr>
          <w:b/>
          <w:bCs/>
          <w:lang w:val="en-US"/>
        </w:rPr>
        <w:t>3</w:t>
      </w:r>
      <w:r w:rsidRPr="1AD3F609">
        <w:rPr>
          <w:b/>
          <w:bCs/>
          <w:lang w:val="en-US"/>
        </w:rPr>
        <w:t xml:space="preserve">: Scenarios where the UE is additionally configured with CHO-only configuration should be down-prioritized </w:t>
      </w:r>
      <w:r w:rsidR="0038687C" w:rsidRPr="1AD3F609">
        <w:rPr>
          <w:b/>
          <w:bCs/>
          <w:lang w:val="en-US"/>
        </w:rPr>
        <w:t xml:space="preserve">and studied </w:t>
      </w:r>
      <w:r w:rsidR="0038687C">
        <w:rPr>
          <w:b/>
          <w:bCs/>
          <w:lang w:val="en-US"/>
        </w:rPr>
        <w:t xml:space="preserve">only </w:t>
      </w:r>
      <w:r w:rsidR="0038687C" w:rsidRPr="1AD3F609">
        <w:rPr>
          <w:b/>
          <w:bCs/>
          <w:lang w:val="en-US"/>
        </w:rPr>
        <w:t>if time allows</w:t>
      </w:r>
      <w:r w:rsidR="0038687C">
        <w:rPr>
          <w:b/>
          <w:bCs/>
          <w:lang w:val="en-US"/>
        </w:rPr>
        <w:t xml:space="preserve">, </w:t>
      </w:r>
      <w:r w:rsidR="00AF3BD5">
        <w:rPr>
          <w:b/>
          <w:bCs/>
          <w:lang w:val="en-US"/>
        </w:rPr>
        <w:t xml:space="preserve">as </w:t>
      </w:r>
      <w:r w:rsidR="0038687C">
        <w:rPr>
          <w:b/>
          <w:bCs/>
          <w:lang w:val="en-US"/>
        </w:rPr>
        <w:t>they</w:t>
      </w:r>
      <w:r w:rsidR="00AF3BD5">
        <w:rPr>
          <w:b/>
          <w:bCs/>
          <w:lang w:val="en-US"/>
        </w:rPr>
        <w:t xml:space="preserve"> do not cause loss of connectivity</w:t>
      </w:r>
      <w:r w:rsidRPr="1AD3F609">
        <w:rPr>
          <w:b/>
          <w:bCs/>
          <w:lang w:val="en-US"/>
        </w:rPr>
        <w:t xml:space="preserve">. </w:t>
      </w:r>
    </w:p>
    <w:p w14:paraId="69B7B8E6" w14:textId="72B784B9" w:rsidR="009339CB" w:rsidRPr="006E13D1" w:rsidRDefault="005A13AB" w:rsidP="00AF3BD5">
      <w:pPr>
        <w:pStyle w:val="Heading1"/>
      </w:pPr>
      <w:r>
        <w:t>3</w:t>
      </w:r>
      <w:r w:rsidR="009339CB" w:rsidRPr="006E13D1">
        <w:tab/>
      </w:r>
      <w:r w:rsidR="009339CB">
        <w:t>Conclusion</w:t>
      </w:r>
    </w:p>
    <w:p w14:paraId="41C175B7" w14:textId="11B13EC2" w:rsidR="00AF3BD5" w:rsidRPr="006E13D1" w:rsidRDefault="00AF3BD5" w:rsidP="00AF3BD5">
      <w:r>
        <w:t>This document has made the following proposals:</w:t>
      </w:r>
    </w:p>
    <w:p w14:paraId="61CDDC9D" w14:textId="77777777" w:rsidR="00422544" w:rsidRDefault="00422544" w:rsidP="00422544">
      <w:pPr>
        <w:rPr>
          <w:b/>
          <w:bCs/>
          <w:lang w:val="en-US"/>
        </w:rPr>
      </w:pPr>
      <w:r w:rsidRPr="538BB813">
        <w:rPr>
          <w:b/>
          <w:bCs/>
          <w:lang w:val="en-US"/>
        </w:rPr>
        <w:t xml:space="preserve">Proposal 1: RAN2 to enhance the RLF report and </w:t>
      </w:r>
      <w:proofErr w:type="spellStart"/>
      <w:r w:rsidRPr="538BB813">
        <w:rPr>
          <w:b/>
          <w:bCs/>
          <w:lang w:val="en-US"/>
        </w:rPr>
        <w:t>SCGFailureInformation</w:t>
      </w:r>
      <w:proofErr w:type="spellEnd"/>
      <w:r w:rsidRPr="538BB813">
        <w:rPr>
          <w:b/>
          <w:bCs/>
          <w:lang w:val="en-US"/>
        </w:rPr>
        <w:t xml:space="preserve"> with additional information regarding the state of the two execution conditions. </w:t>
      </w:r>
    </w:p>
    <w:p w14:paraId="4AEEE830" w14:textId="77777777" w:rsidR="00422544" w:rsidRDefault="00422544" w:rsidP="00422544">
      <w:pPr>
        <w:rPr>
          <w:lang w:val="en-US"/>
        </w:rPr>
      </w:pPr>
      <w:r w:rsidRPr="1361D888">
        <w:rPr>
          <w:b/>
          <w:bCs/>
          <w:lang w:val="en-US"/>
        </w:rPr>
        <w:t xml:space="preserve">Proposal </w:t>
      </w:r>
      <w:r>
        <w:rPr>
          <w:b/>
          <w:bCs/>
          <w:lang w:val="en-US"/>
        </w:rPr>
        <w:t>2</w:t>
      </w:r>
      <w:r w:rsidRPr="1361D888">
        <w:rPr>
          <w:b/>
          <w:bCs/>
          <w:lang w:val="en-US"/>
        </w:rPr>
        <w:t>: RAN2 to enhance SHR and SPR with new triggers</w:t>
      </w:r>
      <w:r>
        <w:rPr>
          <w:b/>
          <w:bCs/>
          <w:lang w:val="en-US"/>
        </w:rPr>
        <w:t xml:space="preserve"> (e.g. based on time gap between condition fulfilment)</w:t>
      </w:r>
      <w:r w:rsidRPr="1361D888">
        <w:rPr>
          <w:b/>
          <w:bCs/>
          <w:lang w:val="en-US"/>
        </w:rPr>
        <w:t xml:space="preserve"> and content that allows the network to identify the execution condition that delayed the handover.</w:t>
      </w:r>
    </w:p>
    <w:p w14:paraId="0C6585F8" w14:textId="77777777" w:rsidR="0038687C" w:rsidRPr="00DE78F9" w:rsidRDefault="0038687C" w:rsidP="0038687C">
      <w:pPr>
        <w:rPr>
          <w:b/>
          <w:bCs/>
          <w:lang w:val="en-US"/>
        </w:rPr>
      </w:pPr>
      <w:r w:rsidRPr="1AD3F609">
        <w:rPr>
          <w:b/>
          <w:bCs/>
          <w:lang w:val="en-US"/>
        </w:rPr>
        <w:t xml:space="preserve">Proposal </w:t>
      </w:r>
      <w:r>
        <w:rPr>
          <w:b/>
          <w:bCs/>
          <w:lang w:val="en-US"/>
        </w:rPr>
        <w:t>3</w:t>
      </w:r>
      <w:r w:rsidRPr="1AD3F609">
        <w:rPr>
          <w:b/>
          <w:bCs/>
          <w:lang w:val="en-US"/>
        </w:rPr>
        <w:t xml:space="preserve">: Scenarios where the UE is additionally configured with CHO-only configuration should be down-prioritized and studied </w:t>
      </w:r>
      <w:r>
        <w:rPr>
          <w:b/>
          <w:bCs/>
          <w:lang w:val="en-US"/>
        </w:rPr>
        <w:t xml:space="preserve">only </w:t>
      </w:r>
      <w:r w:rsidRPr="1AD3F609">
        <w:rPr>
          <w:b/>
          <w:bCs/>
          <w:lang w:val="en-US"/>
        </w:rPr>
        <w:t>if time allows</w:t>
      </w:r>
      <w:r>
        <w:rPr>
          <w:b/>
          <w:bCs/>
          <w:lang w:val="en-US"/>
        </w:rPr>
        <w:t>, as they do not cause loss of connectivity</w:t>
      </w:r>
      <w:r w:rsidRPr="1AD3F609">
        <w:rPr>
          <w:b/>
          <w:bCs/>
          <w:lang w:val="en-US"/>
        </w:rPr>
        <w:t xml:space="preserve">. </w:t>
      </w:r>
    </w:p>
    <w:p w14:paraId="35F222F4" w14:textId="77777777" w:rsidR="00080512" w:rsidRPr="00A209D6" w:rsidRDefault="00080512" w:rsidP="009339CB"/>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A1F7C" w14:textId="77777777" w:rsidR="00632A69" w:rsidRDefault="00632A69">
      <w:r>
        <w:separator/>
      </w:r>
    </w:p>
  </w:endnote>
  <w:endnote w:type="continuationSeparator" w:id="0">
    <w:p w14:paraId="702EB952" w14:textId="77777777" w:rsidR="00632A69" w:rsidRDefault="00632A69">
      <w:r>
        <w:continuationSeparator/>
      </w:r>
    </w:p>
  </w:endnote>
  <w:endnote w:type="continuationNotice" w:id="1">
    <w:p w14:paraId="4E79C839" w14:textId="77777777" w:rsidR="00632A69" w:rsidRDefault="00632A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5BD81" w14:textId="77777777" w:rsidR="00632A69" w:rsidRDefault="00632A69">
      <w:r>
        <w:separator/>
      </w:r>
    </w:p>
  </w:footnote>
  <w:footnote w:type="continuationSeparator" w:id="0">
    <w:p w14:paraId="16E10B5E" w14:textId="77777777" w:rsidR="00632A69" w:rsidRDefault="00632A69">
      <w:r>
        <w:continuationSeparator/>
      </w:r>
    </w:p>
  </w:footnote>
  <w:footnote w:type="continuationNotice" w:id="1">
    <w:p w14:paraId="40C839CD" w14:textId="77777777" w:rsidR="00632A69" w:rsidRDefault="00632A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70FA6B60"/>
    <w:multiLevelType w:val="hybridMultilevel"/>
    <w:tmpl w:val="F5D45B2E"/>
    <w:lvl w:ilvl="0" w:tplc="997A4DF4">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06545130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33397"/>
    <w:rsid w:val="00040095"/>
    <w:rsid w:val="00065268"/>
    <w:rsid w:val="00073C9C"/>
    <w:rsid w:val="00076412"/>
    <w:rsid w:val="00080512"/>
    <w:rsid w:val="00085D38"/>
    <w:rsid w:val="00090468"/>
    <w:rsid w:val="00094568"/>
    <w:rsid w:val="000B7BCF"/>
    <w:rsid w:val="000C522B"/>
    <w:rsid w:val="000D58AB"/>
    <w:rsid w:val="00112F1A"/>
    <w:rsid w:val="00121F3C"/>
    <w:rsid w:val="0012610D"/>
    <w:rsid w:val="00145075"/>
    <w:rsid w:val="001703EC"/>
    <w:rsid w:val="001741A0"/>
    <w:rsid w:val="00175FA0"/>
    <w:rsid w:val="0018542A"/>
    <w:rsid w:val="00194CD0"/>
    <w:rsid w:val="001B49C9"/>
    <w:rsid w:val="001C23F4"/>
    <w:rsid w:val="001C4F79"/>
    <w:rsid w:val="001F168B"/>
    <w:rsid w:val="001F7831"/>
    <w:rsid w:val="00204045"/>
    <w:rsid w:val="0020712B"/>
    <w:rsid w:val="0022606D"/>
    <w:rsid w:val="00231728"/>
    <w:rsid w:val="00244A05"/>
    <w:rsid w:val="00250404"/>
    <w:rsid w:val="00256B74"/>
    <w:rsid w:val="002610D8"/>
    <w:rsid w:val="002747EC"/>
    <w:rsid w:val="002855BF"/>
    <w:rsid w:val="00290A7C"/>
    <w:rsid w:val="002B2988"/>
    <w:rsid w:val="002F0D22"/>
    <w:rsid w:val="002F6E02"/>
    <w:rsid w:val="00311B17"/>
    <w:rsid w:val="003172DC"/>
    <w:rsid w:val="00325AE3"/>
    <w:rsid w:val="00326069"/>
    <w:rsid w:val="0035462D"/>
    <w:rsid w:val="0036459E"/>
    <w:rsid w:val="00364B41"/>
    <w:rsid w:val="00383096"/>
    <w:rsid w:val="0038687C"/>
    <w:rsid w:val="0039346C"/>
    <w:rsid w:val="003A41EF"/>
    <w:rsid w:val="003B40AD"/>
    <w:rsid w:val="003C4E37"/>
    <w:rsid w:val="003D0FD0"/>
    <w:rsid w:val="003E16BE"/>
    <w:rsid w:val="003F4E28"/>
    <w:rsid w:val="003F76B6"/>
    <w:rsid w:val="004006E8"/>
    <w:rsid w:val="00401855"/>
    <w:rsid w:val="00422544"/>
    <w:rsid w:val="00446C3A"/>
    <w:rsid w:val="00465587"/>
    <w:rsid w:val="00477455"/>
    <w:rsid w:val="004A1F7B"/>
    <w:rsid w:val="004C4402"/>
    <w:rsid w:val="004C44D2"/>
    <w:rsid w:val="004D3578"/>
    <w:rsid w:val="004D380D"/>
    <w:rsid w:val="004E213A"/>
    <w:rsid w:val="004E7553"/>
    <w:rsid w:val="004F4540"/>
    <w:rsid w:val="004F4942"/>
    <w:rsid w:val="004F73A7"/>
    <w:rsid w:val="00503171"/>
    <w:rsid w:val="00506C28"/>
    <w:rsid w:val="00534DA0"/>
    <w:rsid w:val="00537809"/>
    <w:rsid w:val="005432D9"/>
    <w:rsid w:val="00543E6C"/>
    <w:rsid w:val="00565087"/>
    <w:rsid w:val="0056573F"/>
    <w:rsid w:val="00571279"/>
    <w:rsid w:val="00575FC5"/>
    <w:rsid w:val="005A13AB"/>
    <w:rsid w:val="005A49C6"/>
    <w:rsid w:val="005C766E"/>
    <w:rsid w:val="005C7CD5"/>
    <w:rsid w:val="00611566"/>
    <w:rsid w:val="0062795C"/>
    <w:rsid w:val="00632A69"/>
    <w:rsid w:val="00646D99"/>
    <w:rsid w:val="00656910"/>
    <w:rsid w:val="006572C4"/>
    <w:rsid w:val="006574C0"/>
    <w:rsid w:val="00696821"/>
    <w:rsid w:val="006C66D8"/>
    <w:rsid w:val="006D1E24"/>
    <w:rsid w:val="006D35DE"/>
    <w:rsid w:val="006E1057"/>
    <w:rsid w:val="006E1417"/>
    <w:rsid w:val="006F6A2C"/>
    <w:rsid w:val="007069DC"/>
    <w:rsid w:val="00710201"/>
    <w:rsid w:val="0072073A"/>
    <w:rsid w:val="00723B23"/>
    <w:rsid w:val="0072406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4FA"/>
    <w:rsid w:val="008028A4"/>
    <w:rsid w:val="00813245"/>
    <w:rsid w:val="00840DE0"/>
    <w:rsid w:val="00847CD0"/>
    <w:rsid w:val="008607A8"/>
    <w:rsid w:val="0086354A"/>
    <w:rsid w:val="008768CA"/>
    <w:rsid w:val="00877EF9"/>
    <w:rsid w:val="00880559"/>
    <w:rsid w:val="0089275E"/>
    <w:rsid w:val="008B5306"/>
    <w:rsid w:val="008B54E8"/>
    <w:rsid w:val="008C2E2A"/>
    <w:rsid w:val="008C3057"/>
    <w:rsid w:val="008D2E4D"/>
    <w:rsid w:val="008F396F"/>
    <w:rsid w:val="008F3DCD"/>
    <w:rsid w:val="0090271F"/>
    <w:rsid w:val="00902DB9"/>
    <w:rsid w:val="0090466A"/>
    <w:rsid w:val="00905E5A"/>
    <w:rsid w:val="00923655"/>
    <w:rsid w:val="009248C6"/>
    <w:rsid w:val="009339CB"/>
    <w:rsid w:val="00936071"/>
    <w:rsid w:val="009376CD"/>
    <w:rsid w:val="00940212"/>
    <w:rsid w:val="00942EC2"/>
    <w:rsid w:val="00961B32"/>
    <w:rsid w:val="00962509"/>
    <w:rsid w:val="00970DB3"/>
    <w:rsid w:val="00974BB0"/>
    <w:rsid w:val="00975BCD"/>
    <w:rsid w:val="009818A2"/>
    <w:rsid w:val="00991FCD"/>
    <w:rsid w:val="009928A9"/>
    <w:rsid w:val="009A0AF3"/>
    <w:rsid w:val="009B07CD"/>
    <w:rsid w:val="009C19E9"/>
    <w:rsid w:val="009D74A6"/>
    <w:rsid w:val="009E0E87"/>
    <w:rsid w:val="00A07231"/>
    <w:rsid w:val="00A10F02"/>
    <w:rsid w:val="00A17176"/>
    <w:rsid w:val="00A204CA"/>
    <w:rsid w:val="00A209D6"/>
    <w:rsid w:val="00A22738"/>
    <w:rsid w:val="00A320DA"/>
    <w:rsid w:val="00A36F5F"/>
    <w:rsid w:val="00A430EC"/>
    <w:rsid w:val="00A53724"/>
    <w:rsid w:val="00A54B2B"/>
    <w:rsid w:val="00A703B6"/>
    <w:rsid w:val="00A82346"/>
    <w:rsid w:val="00A9671C"/>
    <w:rsid w:val="00AA1553"/>
    <w:rsid w:val="00AD7E7C"/>
    <w:rsid w:val="00AF3BD5"/>
    <w:rsid w:val="00AF5DFA"/>
    <w:rsid w:val="00B05380"/>
    <w:rsid w:val="00B05962"/>
    <w:rsid w:val="00B15449"/>
    <w:rsid w:val="00B16C2F"/>
    <w:rsid w:val="00B27303"/>
    <w:rsid w:val="00B47FD1"/>
    <w:rsid w:val="00B516BB"/>
    <w:rsid w:val="00B5751D"/>
    <w:rsid w:val="00B669E9"/>
    <w:rsid w:val="00B7538C"/>
    <w:rsid w:val="00B84DB2"/>
    <w:rsid w:val="00BB2C9B"/>
    <w:rsid w:val="00BC3555"/>
    <w:rsid w:val="00C12B51"/>
    <w:rsid w:val="00C24650"/>
    <w:rsid w:val="00C25465"/>
    <w:rsid w:val="00C31806"/>
    <w:rsid w:val="00C33079"/>
    <w:rsid w:val="00C42571"/>
    <w:rsid w:val="00C55A12"/>
    <w:rsid w:val="00C6553E"/>
    <w:rsid w:val="00C83A13"/>
    <w:rsid w:val="00C86F10"/>
    <w:rsid w:val="00C9068C"/>
    <w:rsid w:val="00C92967"/>
    <w:rsid w:val="00CA3D0C"/>
    <w:rsid w:val="00CA654B"/>
    <w:rsid w:val="00CB72B8"/>
    <w:rsid w:val="00CD0BA8"/>
    <w:rsid w:val="00CD3F7D"/>
    <w:rsid w:val="00CD4C7B"/>
    <w:rsid w:val="00CD58FE"/>
    <w:rsid w:val="00D33BE3"/>
    <w:rsid w:val="00D36DB6"/>
    <w:rsid w:val="00D3792D"/>
    <w:rsid w:val="00D54820"/>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7C20"/>
    <w:rsid w:val="00E038FB"/>
    <w:rsid w:val="00E22C81"/>
    <w:rsid w:val="00E46C08"/>
    <w:rsid w:val="00E471CF"/>
    <w:rsid w:val="00E62835"/>
    <w:rsid w:val="00E6480E"/>
    <w:rsid w:val="00E77645"/>
    <w:rsid w:val="00E83697"/>
    <w:rsid w:val="00E859B6"/>
    <w:rsid w:val="00EA66C9"/>
    <w:rsid w:val="00EB5D32"/>
    <w:rsid w:val="00EC4A25"/>
    <w:rsid w:val="00EF612C"/>
    <w:rsid w:val="00F025A2"/>
    <w:rsid w:val="00F036E9"/>
    <w:rsid w:val="00F07388"/>
    <w:rsid w:val="00F2026E"/>
    <w:rsid w:val="00F2210A"/>
    <w:rsid w:val="00F31372"/>
    <w:rsid w:val="00F37743"/>
    <w:rsid w:val="00F40C2F"/>
    <w:rsid w:val="00F42493"/>
    <w:rsid w:val="00F54A3D"/>
    <w:rsid w:val="00F54CB0"/>
    <w:rsid w:val="00F579CD"/>
    <w:rsid w:val="00F653B8"/>
    <w:rsid w:val="00F71B89"/>
    <w:rsid w:val="00F7353C"/>
    <w:rsid w:val="00F76F8F"/>
    <w:rsid w:val="00F87048"/>
    <w:rsid w:val="00F87257"/>
    <w:rsid w:val="00F941DF"/>
    <w:rsid w:val="00FA1266"/>
    <w:rsid w:val="00FB36FA"/>
    <w:rsid w:val="00FC1192"/>
    <w:rsid w:val="00FE106D"/>
    <w:rsid w:val="00FE251B"/>
    <w:rsid w:val="1A8663AF"/>
    <w:rsid w:val="538BB813"/>
    <w:rsid w:val="60CEA0F2"/>
    <w:rsid w:val="77D8017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normaltextrun">
    <w:name w:val="normaltextrun"/>
    <w:basedOn w:val="DefaultParagraphFont"/>
    <w:rsid w:val="002F6E02"/>
  </w:style>
  <w:style w:type="paragraph" w:customStyle="1" w:styleId="paragraph">
    <w:name w:val="paragraph"/>
    <w:basedOn w:val="Normal"/>
    <w:rsid w:val="002F6E02"/>
    <w:pPr>
      <w:spacing w:before="100" w:beforeAutospacing="1" w:after="100" w:afterAutospacing="1"/>
    </w:pPr>
    <w:rPr>
      <w:sz w:val="24"/>
      <w:szCs w:val="24"/>
      <w:lang w:val="en-US"/>
    </w:rPr>
  </w:style>
  <w:style w:type="character" w:customStyle="1" w:styleId="eop">
    <w:name w:val="eop"/>
    <w:basedOn w:val="DefaultParagraphFont"/>
    <w:rsid w:val="002F6E02"/>
  </w:style>
  <w:style w:type="character" w:styleId="CommentReference">
    <w:name w:val="annotation reference"/>
    <w:basedOn w:val="DefaultParagraphFont"/>
    <w:rsid w:val="0072406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91875">
      <w:bodyDiv w:val="1"/>
      <w:marLeft w:val="0"/>
      <w:marRight w:val="0"/>
      <w:marTop w:val="0"/>
      <w:marBottom w:val="0"/>
      <w:divBdr>
        <w:top w:val="none" w:sz="0" w:space="0" w:color="auto"/>
        <w:left w:val="none" w:sz="0" w:space="0" w:color="auto"/>
        <w:bottom w:val="none" w:sz="0" w:space="0" w:color="auto"/>
        <w:right w:val="none" w:sz="0" w:space="0" w:color="auto"/>
      </w:divBdr>
      <w:divsChild>
        <w:div w:id="1600723146">
          <w:marLeft w:val="0"/>
          <w:marRight w:val="0"/>
          <w:marTop w:val="0"/>
          <w:marBottom w:val="0"/>
          <w:divBdr>
            <w:top w:val="none" w:sz="0" w:space="0" w:color="auto"/>
            <w:left w:val="none" w:sz="0" w:space="0" w:color="auto"/>
            <w:bottom w:val="none" w:sz="0" w:space="0" w:color="auto"/>
            <w:right w:val="none" w:sz="0" w:space="0" w:color="auto"/>
          </w:divBdr>
        </w:div>
        <w:div w:id="407003120">
          <w:marLeft w:val="0"/>
          <w:marRight w:val="0"/>
          <w:marTop w:val="0"/>
          <w:marBottom w:val="0"/>
          <w:divBdr>
            <w:top w:val="none" w:sz="0" w:space="0" w:color="auto"/>
            <w:left w:val="none" w:sz="0" w:space="0" w:color="auto"/>
            <w:bottom w:val="none" w:sz="0" w:space="0" w:color="auto"/>
            <w:right w:val="none" w:sz="0" w:space="0" w:color="auto"/>
          </w:divBdr>
        </w:div>
        <w:div w:id="801655538">
          <w:marLeft w:val="0"/>
          <w:marRight w:val="0"/>
          <w:marTop w:val="0"/>
          <w:marBottom w:val="0"/>
          <w:divBdr>
            <w:top w:val="none" w:sz="0" w:space="0" w:color="auto"/>
            <w:left w:val="none" w:sz="0" w:space="0" w:color="auto"/>
            <w:bottom w:val="none" w:sz="0" w:space="0" w:color="auto"/>
            <w:right w:val="none" w:sz="0" w:space="0" w:color="auto"/>
          </w:divBdr>
        </w:div>
        <w:div w:id="989679235">
          <w:marLeft w:val="0"/>
          <w:marRight w:val="0"/>
          <w:marTop w:val="0"/>
          <w:marBottom w:val="0"/>
          <w:divBdr>
            <w:top w:val="none" w:sz="0" w:space="0" w:color="auto"/>
            <w:left w:val="none" w:sz="0" w:space="0" w:color="auto"/>
            <w:bottom w:val="none" w:sz="0" w:space="0" w:color="auto"/>
            <w:right w:val="none" w:sz="0" w:space="0" w:color="auto"/>
          </w:divBdr>
        </w:div>
      </w:divsChild>
    </w:div>
    <w:div w:id="145978730">
      <w:bodyDiv w:val="1"/>
      <w:marLeft w:val="0"/>
      <w:marRight w:val="0"/>
      <w:marTop w:val="0"/>
      <w:marBottom w:val="0"/>
      <w:divBdr>
        <w:top w:val="none" w:sz="0" w:space="0" w:color="auto"/>
        <w:left w:val="none" w:sz="0" w:space="0" w:color="auto"/>
        <w:bottom w:val="none" w:sz="0" w:space="0" w:color="auto"/>
        <w:right w:val="none" w:sz="0" w:space="0" w:color="auto"/>
      </w:divBdr>
      <w:divsChild>
        <w:div w:id="1955599749">
          <w:marLeft w:val="0"/>
          <w:marRight w:val="0"/>
          <w:marTop w:val="0"/>
          <w:marBottom w:val="0"/>
          <w:divBdr>
            <w:top w:val="none" w:sz="0" w:space="0" w:color="auto"/>
            <w:left w:val="none" w:sz="0" w:space="0" w:color="auto"/>
            <w:bottom w:val="none" w:sz="0" w:space="0" w:color="auto"/>
            <w:right w:val="none" w:sz="0" w:space="0" w:color="auto"/>
          </w:divBdr>
        </w:div>
        <w:div w:id="301497317">
          <w:marLeft w:val="0"/>
          <w:marRight w:val="0"/>
          <w:marTop w:val="0"/>
          <w:marBottom w:val="0"/>
          <w:divBdr>
            <w:top w:val="none" w:sz="0" w:space="0" w:color="auto"/>
            <w:left w:val="none" w:sz="0" w:space="0" w:color="auto"/>
            <w:bottom w:val="none" w:sz="0" w:space="0" w:color="auto"/>
            <w:right w:val="none" w:sz="0" w:space="0" w:color="auto"/>
          </w:divBdr>
        </w:div>
        <w:div w:id="612060472">
          <w:marLeft w:val="0"/>
          <w:marRight w:val="0"/>
          <w:marTop w:val="0"/>
          <w:marBottom w:val="0"/>
          <w:divBdr>
            <w:top w:val="none" w:sz="0" w:space="0" w:color="auto"/>
            <w:left w:val="none" w:sz="0" w:space="0" w:color="auto"/>
            <w:bottom w:val="none" w:sz="0" w:space="0" w:color="auto"/>
            <w:right w:val="none" w:sz="0" w:space="0" w:color="auto"/>
          </w:divBdr>
        </w:div>
        <w:div w:id="1857577275">
          <w:marLeft w:val="0"/>
          <w:marRight w:val="0"/>
          <w:marTop w:val="0"/>
          <w:marBottom w:val="0"/>
          <w:divBdr>
            <w:top w:val="none" w:sz="0" w:space="0" w:color="auto"/>
            <w:left w:val="none" w:sz="0" w:space="0" w:color="auto"/>
            <w:bottom w:val="none" w:sz="0" w:space="0" w:color="auto"/>
            <w:right w:val="none" w:sz="0" w:space="0" w:color="auto"/>
          </w:divBdr>
        </w:div>
        <w:div w:id="1130435539">
          <w:marLeft w:val="0"/>
          <w:marRight w:val="0"/>
          <w:marTop w:val="0"/>
          <w:marBottom w:val="0"/>
          <w:divBdr>
            <w:top w:val="none" w:sz="0" w:space="0" w:color="auto"/>
            <w:left w:val="none" w:sz="0" w:space="0" w:color="auto"/>
            <w:bottom w:val="none" w:sz="0" w:space="0" w:color="auto"/>
            <w:right w:val="none" w:sz="0" w:space="0" w:color="auto"/>
          </w:divBdr>
        </w:div>
        <w:div w:id="558177925">
          <w:marLeft w:val="0"/>
          <w:marRight w:val="0"/>
          <w:marTop w:val="0"/>
          <w:marBottom w:val="0"/>
          <w:divBdr>
            <w:top w:val="none" w:sz="0" w:space="0" w:color="auto"/>
            <w:left w:val="none" w:sz="0" w:space="0" w:color="auto"/>
            <w:bottom w:val="none" w:sz="0" w:space="0" w:color="auto"/>
            <w:right w:val="none" w:sz="0" w:space="0" w:color="auto"/>
          </w:divBdr>
        </w:div>
        <w:div w:id="1843231902">
          <w:marLeft w:val="0"/>
          <w:marRight w:val="0"/>
          <w:marTop w:val="0"/>
          <w:marBottom w:val="0"/>
          <w:divBdr>
            <w:top w:val="none" w:sz="0" w:space="0" w:color="auto"/>
            <w:left w:val="none" w:sz="0" w:space="0" w:color="auto"/>
            <w:bottom w:val="none" w:sz="0" w:space="0" w:color="auto"/>
            <w:right w:val="none" w:sz="0" w:space="0" w:color="auto"/>
          </w:divBdr>
        </w:div>
        <w:div w:id="1879316307">
          <w:marLeft w:val="0"/>
          <w:marRight w:val="0"/>
          <w:marTop w:val="0"/>
          <w:marBottom w:val="0"/>
          <w:divBdr>
            <w:top w:val="none" w:sz="0" w:space="0" w:color="auto"/>
            <w:left w:val="none" w:sz="0" w:space="0" w:color="auto"/>
            <w:bottom w:val="none" w:sz="0" w:space="0" w:color="auto"/>
            <w:right w:val="none" w:sz="0" w:space="0" w:color="auto"/>
          </w:divBdr>
        </w:div>
        <w:div w:id="1700349676">
          <w:marLeft w:val="0"/>
          <w:marRight w:val="0"/>
          <w:marTop w:val="0"/>
          <w:marBottom w:val="0"/>
          <w:divBdr>
            <w:top w:val="none" w:sz="0" w:space="0" w:color="auto"/>
            <w:left w:val="none" w:sz="0" w:space="0" w:color="auto"/>
            <w:bottom w:val="none" w:sz="0" w:space="0" w:color="auto"/>
            <w:right w:val="none" w:sz="0" w:space="0" w:color="auto"/>
          </w:divBdr>
        </w:div>
        <w:div w:id="1699891552">
          <w:marLeft w:val="0"/>
          <w:marRight w:val="0"/>
          <w:marTop w:val="0"/>
          <w:marBottom w:val="0"/>
          <w:divBdr>
            <w:top w:val="none" w:sz="0" w:space="0" w:color="auto"/>
            <w:left w:val="none" w:sz="0" w:space="0" w:color="auto"/>
            <w:bottom w:val="none" w:sz="0" w:space="0" w:color="auto"/>
            <w:right w:val="none" w:sz="0" w:space="0" w:color="auto"/>
          </w:divBdr>
        </w:div>
        <w:div w:id="237325534">
          <w:marLeft w:val="0"/>
          <w:marRight w:val="0"/>
          <w:marTop w:val="0"/>
          <w:marBottom w:val="0"/>
          <w:divBdr>
            <w:top w:val="none" w:sz="0" w:space="0" w:color="auto"/>
            <w:left w:val="none" w:sz="0" w:space="0" w:color="auto"/>
            <w:bottom w:val="none" w:sz="0" w:space="0" w:color="auto"/>
            <w:right w:val="none" w:sz="0" w:space="0" w:color="auto"/>
          </w:divBdr>
        </w:div>
        <w:div w:id="132218149">
          <w:marLeft w:val="0"/>
          <w:marRight w:val="0"/>
          <w:marTop w:val="0"/>
          <w:marBottom w:val="0"/>
          <w:divBdr>
            <w:top w:val="none" w:sz="0" w:space="0" w:color="auto"/>
            <w:left w:val="none" w:sz="0" w:space="0" w:color="auto"/>
            <w:bottom w:val="none" w:sz="0" w:space="0" w:color="auto"/>
            <w:right w:val="none" w:sz="0" w:space="0" w:color="auto"/>
          </w:divBdr>
        </w:div>
        <w:div w:id="773937139">
          <w:marLeft w:val="0"/>
          <w:marRight w:val="0"/>
          <w:marTop w:val="0"/>
          <w:marBottom w:val="0"/>
          <w:divBdr>
            <w:top w:val="none" w:sz="0" w:space="0" w:color="auto"/>
            <w:left w:val="none" w:sz="0" w:space="0" w:color="auto"/>
            <w:bottom w:val="none" w:sz="0" w:space="0" w:color="auto"/>
            <w:right w:val="none" w:sz="0" w:space="0" w:color="auto"/>
          </w:divBdr>
        </w:div>
        <w:div w:id="343629007">
          <w:marLeft w:val="0"/>
          <w:marRight w:val="0"/>
          <w:marTop w:val="0"/>
          <w:marBottom w:val="0"/>
          <w:divBdr>
            <w:top w:val="none" w:sz="0" w:space="0" w:color="auto"/>
            <w:left w:val="none" w:sz="0" w:space="0" w:color="auto"/>
            <w:bottom w:val="none" w:sz="0" w:space="0" w:color="auto"/>
            <w:right w:val="none" w:sz="0" w:space="0" w:color="auto"/>
          </w:divBdr>
        </w:div>
        <w:div w:id="207761382">
          <w:marLeft w:val="0"/>
          <w:marRight w:val="0"/>
          <w:marTop w:val="0"/>
          <w:marBottom w:val="0"/>
          <w:divBdr>
            <w:top w:val="none" w:sz="0" w:space="0" w:color="auto"/>
            <w:left w:val="none" w:sz="0" w:space="0" w:color="auto"/>
            <w:bottom w:val="none" w:sz="0" w:space="0" w:color="auto"/>
            <w:right w:val="none" w:sz="0" w:space="0" w:color="auto"/>
          </w:divBdr>
        </w:div>
        <w:div w:id="237130376">
          <w:marLeft w:val="0"/>
          <w:marRight w:val="0"/>
          <w:marTop w:val="0"/>
          <w:marBottom w:val="0"/>
          <w:divBdr>
            <w:top w:val="none" w:sz="0" w:space="0" w:color="auto"/>
            <w:left w:val="none" w:sz="0" w:space="0" w:color="auto"/>
            <w:bottom w:val="none" w:sz="0" w:space="0" w:color="auto"/>
            <w:right w:val="none" w:sz="0" w:space="0" w:color="auto"/>
          </w:divBdr>
        </w:div>
        <w:div w:id="1396317887">
          <w:marLeft w:val="0"/>
          <w:marRight w:val="0"/>
          <w:marTop w:val="0"/>
          <w:marBottom w:val="0"/>
          <w:divBdr>
            <w:top w:val="none" w:sz="0" w:space="0" w:color="auto"/>
            <w:left w:val="none" w:sz="0" w:space="0" w:color="auto"/>
            <w:bottom w:val="none" w:sz="0" w:space="0" w:color="auto"/>
            <w:right w:val="none" w:sz="0" w:space="0" w:color="auto"/>
          </w:divBdr>
        </w:div>
        <w:div w:id="381056900">
          <w:marLeft w:val="0"/>
          <w:marRight w:val="0"/>
          <w:marTop w:val="0"/>
          <w:marBottom w:val="0"/>
          <w:divBdr>
            <w:top w:val="none" w:sz="0" w:space="0" w:color="auto"/>
            <w:left w:val="none" w:sz="0" w:space="0" w:color="auto"/>
            <w:bottom w:val="none" w:sz="0" w:space="0" w:color="auto"/>
            <w:right w:val="none" w:sz="0" w:space="0" w:color="auto"/>
          </w:divBdr>
        </w:div>
        <w:div w:id="741952444">
          <w:marLeft w:val="0"/>
          <w:marRight w:val="0"/>
          <w:marTop w:val="0"/>
          <w:marBottom w:val="0"/>
          <w:divBdr>
            <w:top w:val="none" w:sz="0" w:space="0" w:color="auto"/>
            <w:left w:val="none" w:sz="0" w:space="0" w:color="auto"/>
            <w:bottom w:val="none" w:sz="0" w:space="0" w:color="auto"/>
            <w:right w:val="none" w:sz="0" w:space="0" w:color="auto"/>
          </w:divBdr>
        </w:div>
        <w:div w:id="91316030">
          <w:marLeft w:val="0"/>
          <w:marRight w:val="0"/>
          <w:marTop w:val="0"/>
          <w:marBottom w:val="0"/>
          <w:divBdr>
            <w:top w:val="none" w:sz="0" w:space="0" w:color="auto"/>
            <w:left w:val="none" w:sz="0" w:space="0" w:color="auto"/>
            <w:bottom w:val="none" w:sz="0" w:space="0" w:color="auto"/>
            <w:right w:val="none" w:sz="0" w:space="0" w:color="auto"/>
          </w:divBdr>
        </w:div>
        <w:div w:id="2064936634">
          <w:marLeft w:val="0"/>
          <w:marRight w:val="0"/>
          <w:marTop w:val="0"/>
          <w:marBottom w:val="0"/>
          <w:divBdr>
            <w:top w:val="none" w:sz="0" w:space="0" w:color="auto"/>
            <w:left w:val="none" w:sz="0" w:space="0" w:color="auto"/>
            <w:bottom w:val="none" w:sz="0" w:space="0" w:color="auto"/>
            <w:right w:val="none" w:sz="0" w:space="0" w:color="auto"/>
          </w:divBdr>
        </w:div>
        <w:div w:id="2059863130">
          <w:marLeft w:val="0"/>
          <w:marRight w:val="0"/>
          <w:marTop w:val="0"/>
          <w:marBottom w:val="0"/>
          <w:divBdr>
            <w:top w:val="none" w:sz="0" w:space="0" w:color="auto"/>
            <w:left w:val="none" w:sz="0" w:space="0" w:color="auto"/>
            <w:bottom w:val="none" w:sz="0" w:space="0" w:color="auto"/>
            <w:right w:val="none" w:sz="0" w:space="0" w:color="auto"/>
          </w:divBdr>
        </w:div>
      </w:divsChild>
    </w:div>
    <w:div w:id="211385171">
      <w:bodyDiv w:val="1"/>
      <w:marLeft w:val="0"/>
      <w:marRight w:val="0"/>
      <w:marTop w:val="0"/>
      <w:marBottom w:val="0"/>
      <w:divBdr>
        <w:top w:val="none" w:sz="0" w:space="0" w:color="auto"/>
        <w:left w:val="none" w:sz="0" w:space="0" w:color="auto"/>
        <w:bottom w:val="none" w:sz="0" w:space="0" w:color="auto"/>
        <w:right w:val="none" w:sz="0" w:space="0" w:color="auto"/>
      </w:divBdr>
      <w:divsChild>
        <w:div w:id="562060121">
          <w:marLeft w:val="0"/>
          <w:marRight w:val="0"/>
          <w:marTop w:val="0"/>
          <w:marBottom w:val="0"/>
          <w:divBdr>
            <w:top w:val="none" w:sz="0" w:space="0" w:color="auto"/>
            <w:left w:val="none" w:sz="0" w:space="0" w:color="auto"/>
            <w:bottom w:val="none" w:sz="0" w:space="0" w:color="auto"/>
            <w:right w:val="none" w:sz="0" w:space="0" w:color="auto"/>
          </w:divBdr>
        </w:div>
        <w:div w:id="458958841">
          <w:marLeft w:val="0"/>
          <w:marRight w:val="0"/>
          <w:marTop w:val="0"/>
          <w:marBottom w:val="0"/>
          <w:divBdr>
            <w:top w:val="none" w:sz="0" w:space="0" w:color="auto"/>
            <w:left w:val="none" w:sz="0" w:space="0" w:color="auto"/>
            <w:bottom w:val="none" w:sz="0" w:space="0" w:color="auto"/>
            <w:right w:val="none" w:sz="0" w:space="0" w:color="auto"/>
          </w:divBdr>
        </w:div>
        <w:div w:id="76178329">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58024047">
      <w:bodyDiv w:val="1"/>
      <w:marLeft w:val="0"/>
      <w:marRight w:val="0"/>
      <w:marTop w:val="0"/>
      <w:marBottom w:val="0"/>
      <w:divBdr>
        <w:top w:val="none" w:sz="0" w:space="0" w:color="auto"/>
        <w:left w:val="none" w:sz="0" w:space="0" w:color="auto"/>
        <w:bottom w:val="none" w:sz="0" w:space="0" w:color="auto"/>
        <w:right w:val="none" w:sz="0" w:space="0" w:color="auto"/>
      </w:divBdr>
      <w:divsChild>
        <w:div w:id="1034770404">
          <w:marLeft w:val="0"/>
          <w:marRight w:val="0"/>
          <w:marTop w:val="0"/>
          <w:marBottom w:val="0"/>
          <w:divBdr>
            <w:top w:val="none" w:sz="0" w:space="0" w:color="auto"/>
            <w:left w:val="none" w:sz="0" w:space="0" w:color="auto"/>
            <w:bottom w:val="none" w:sz="0" w:space="0" w:color="auto"/>
            <w:right w:val="none" w:sz="0" w:space="0" w:color="auto"/>
          </w:divBdr>
        </w:div>
        <w:div w:id="1965115937">
          <w:marLeft w:val="0"/>
          <w:marRight w:val="0"/>
          <w:marTop w:val="0"/>
          <w:marBottom w:val="0"/>
          <w:divBdr>
            <w:top w:val="none" w:sz="0" w:space="0" w:color="auto"/>
            <w:left w:val="none" w:sz="0" w:space="0" w:color="auto"/>
            <w:bottom w:val="none" w:sz="0" w:space="0" w:color="auto"/>
            <w:right w:val="none" w:sz="0" w:space="0" w:color="auto"/>
          </w:divBdr>
        </w:div>
        <w:div w:id="1685671547">
          <w:marLeft w:val="0"/>
          <w:marRight w:val="0"/>
          <w:marTop w:val="0"/>
          <w:marBottom w:val="0"/>
          <w:divBdr>
            <w:top w:val="none" w:sz="0" w:space="0" w:color="auto"/>
            <w:left w:val="none" w:sz="0" w:space="0" w:color="auto"/>
            <w:bottom w:val="none" w:sz="0" w:space="0" w:color="auto"/>
            <w:right w:val="none" w:sz="0" w:space="0" w:color="auto"/>
          </w:divBdr>
        </w:div>
        <w:div w:id="1390224159">
          <w:marLeft w:val="0"/>
          <w:marRight w:val="0"/>
          <w:marTop w:val="0"/>
          <w:marBottom w:val="0"/>
          <w:divBdr>
            <w:top w:val="none" w:sz="0" w:space="0" w:color="auto"/>
            <w:left w:val="none" w:sz="0" w:space="0" w:color="auto"/>
            <w:bottom w:val="none" w:sz="0" w:space="0" w:color="auto"/>
            <w:right w:val="none" w:sz="0" w:space="0" w:color="auto"/>
          </w:divBdr>
        </w:div>
        <w:div w:id="2057926312">
          <w:marLeft w:val="0"/>
          <w:marRight w:val="0"/>
          <w:marTop w:val="0"/>
          <w:marBottom w:val="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25197736">
      <w:bodyDiv w:val="1"/>
      <w:marLeft w:val="0"/>
      <w:marRight w:val="0"/>
      <w:marTop w:val="0"/>
      <w:marBottom w:val="0"/>
      <w:divBdr>
        <w:top w:val="none" w:sz="0" w:space="0" w:color="auto"/>
        <w:left w:val="none" w:sz="0" w:space="0" w:color="auto"/>
        <w:bottom w:val="none" w:sz="0" w:space="0" w:color="auto"/>
        <w:right w:val="none" w:sz="0" w:space="0" w:color="auto"/>
      </w:divBdr>
      <w:divsChild>
        <w:div w:id="1978492852">
          <w:marLeft w:val="0"/>
          <w:marRight w:val="0"/>
          <w:marTop w:val="0"/>
          <w:marBottom w:val="0"/>
          <w:divBdr>
            <w:top w:val="none" w:sz="0" w:space="0" w:color="auto"/>
            <w:left w:val="none" w:sz="0" w:space="0" w:color="auto"/>
            <w:bottom w:val="none" w:sz="0" w:space="0" w:color="auto"/>
            <w:right w:val="none" w:sz="0" w:space="0" w:color="auto"/>
          </w:divBdr>
        </w:div>
        <w:div w:id="86390960">
          <w:marLeft w:val="0"/>
          <w:marRight w:val="0"/>
          <w:marTop w:val="0"/>
          <w:marBottom w:val="0"/>
          <w:divBdr>
            <w:top w:val="none" w:sz="0" w:space="0" w:color="auto"/>
            <w:left w:val="none" w:sz="0" w:space="0" w:color="auto"/>
            <w:bottom w:val="none" w:sz="0" w:space="0" w:color="auto"/>
            <w:right w:val="none" w:sz="0" w:space="0" w:color="auto"/>
          </w:divBdr>
        </w:div>
        <w:div w:id="1216310200">
          <w:marLeft w:val="0"/>
          <w:marRight w:val="0"/>
          <w:marTop w:val="0"/>
          <w:marBottom w:val="0"/>
          <w:divBdr>
            <w:top w:val="none" w:sz="0" w:space="0" w:color="auto"/>
            <w:left w:val="none" w:sz="0" w:space="0" w:color="auto"/>
            <w:bottom w:val="none" w:sz="0" w:space="0" w:color="auto"/>
            <w:right w:val="none" w:sz="0" w:space="0" w:color="auto"/>
          </w:divBdr>
        </w:div>
        <w:div w:id="166529984">
          <w:marLeft w:val="0"/>
          <w:marRight w:val="0"/>
          <w:marTop w:val="0"/>
          <w:marBottom w:val="0"/>
          <w:divBdr>
            <w:top w:val="none" w:sz="0" w:space="0" w:color="auto"/>
            <w:left w:val="none" w:sz="0" w:space="0" w:color="auto"/>
            <w:bottom w:val="none" w:sz="0" w:space="0" w:color="auto"/>
            <w:right w:val="none" w:sz="0" w:space="0" w:color="auto"/>
          </w:divBdr>
        </w:div>
        <w:div w:id="1663776342">
          <w:marLeft w:val="0"/>
          <w:marRight w:val="0"/>
          <w:marTop w:val="0"/>
          <w:marBottom w:val="0"/>
          <w:divBdr>
            <w:top w:val="none" w:sz="0" w:space="0" w:color="auto"/>
            <w:left w:val="none" w:sz="0" w:space="0" w:color="auto"/>
            <w:bottom w:val="none" w:sz="0" w:space="0" w:color="auto"/>
            <w:right w:val="none" w:sz="0" w:space="0" w:color="auto"/>
          </w:divBdr>
        </w:div>
        <w:div w:id="571506451">
          <w:marLeft w:val="0"/>
          <w:marRight w:val="0"/>
          <w:marTop w:val="0"/>
          <w:marBottom w:val="0"/>
          <w:divBdr>
            <w:top w:val="none" w:sz="0" w:space="0" w:color="auto"/>
            <w:left w:val="none" w:sz="0" w:space="0" w:color="auto"/>
            <w:bottom w:val="none" w:sz="0" w:space="0" w:color="auto"/>
            <w:right w:val="none" w:sz="0" w:space="0" w:color="auto"/>
          </w:divBdr>
        </w:div>
        <w:div w:id="426005442">
          <w:marLeft w:val="0"/>
          <w:marRight w:val="0"/>
          <w:marTop w:val="0"/>
          <w:marBottom w:val="0"/>
          <w:divBdr>
            <w:top w:val="none" w:sz="0" w:space="0" w:color="auto"/>
            <w:left w:val="none" w:sz="0" w:space="0" w:color="auto"/>
            <w:bottom w:val="none" w:sz="0" w:space="0" w:color="auto"/>
            <w:right w:val="none" w:sz="0" w:space="0" w:color="auto"/>
          </w:divBdr>
        </w:div>
        <w:div w:id="13831681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RBI5PAMIO524-1616901215-21601</_dlc_DocId>
    <_dlc_DocIdUrl xmlns="71c5aaf6-e6ce-465b-b873-5148d2a4c105">
      <Url>https://nokia.sharepoint.com/sites/gxp/_layouts/15/DocIdRedir.aspx?ID=RBI5PAMIO524-1616901215-21601</Url>
      <Description>RBI5PAMIO524-1616901215-21601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4.xml><?xml version="1.0" encoding="utf-8"?>
<ds:datastoreItem xmlns:ds="http://schemas.openxmlformats.org/officeDocument/2006/customXml" ds:itemID="{4B9EE84F-2494-4E19-90D6-F0E756D2A9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2</Pages>
  <Words>610</Words>
  <Characters>3477</Characters>
  <Application>Microsoft Office Word</Application>
  <DocSecurity>0</DocSecurity>
  <Lines>28</Lines>
  <Paragraphs>8</Paragraphs>
  <ScaleCrop>false</ScaleCrop>
  <Manager/>
  <Company>Nokia</Company>
  <LinksUpToDate>false</LinksUpToDate>
  <CharactersWithSpaces>4079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(GWO1)</cp:lastModifiedBy>
  <cp:revision>138</cp:revision>
  <dcterms:created xsi:type="dcterms:W3CDTF">2016-08-12T13:53:00Z</dcterms:created>
  <dcterms:modified xsi:type="dcterms:W3CDTF">2024-05-10T07:03:00Z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0e07c6e9-07e1-411e-a69d-89440f24c6e4</vt:lpwstr>
  </property>
</Properties>
</file>